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9016"/>
      </w:tblGrid>
      <w:tr w:rsidR="00E75C67" w:rsidTr="00E75C67">
        <w:tc>
          <w:tcPr>
            <w:tcW w:w="9016" w:type="dxa"/>
          </w:tcPr>
          <w:p w:rsidR="00E75C67" w:rsidRPr="00E75C67" w:rsidRDefault="00E75C67" w:rsidP="00E75C67">
            <w:pPr>
              <w:rPr>
                <w:rFonts w:ascii="Arial" w:hAnsi="Arial" w:cs="Arial"/>
                <w:b/>
                <w:sz w:val="24"/>
                <w:szCs w:val="24"/>
              </w:rPr>
            </w:pPr>
            <w:r w:rsidRPr="00E75C67">
              <w:rPr>
                <w:rFonts w:ascii="Arial" w:hAnsi="Arial" w:cs="Arial"/>
                <w:b/>
                <w:sz w:val="24"/>
                <w:szCs w:val="24"/>
              </w:rPr>
              <w:t>A brief introduction to contextual safeguarding:</w:t>
            </w:r>
          </w:p>
          <w:p w:rsidR="00E75C67" w:rsidRPr="00E75C67" w:rsidRDefault="00E75C67" w:rsidP="00E75C67">
            <w:pPr>
              <w:pStyle w:val="Default"/>
              <w:numPr>
                <w:ilvl w:val="0"/>
                <w:numId w:val="1"/>
              </w:numPr>
              <w:rPr>
                <w:color w:val="auto"/>
              </w:rPr>
            </w:pPr>
            <w:r w:rsidRPr="00E75C67">
              <w:t xml:space="preserve">Contextual </w:t>
            </w:r>
            <w:r>
              <w:t>s</w:t>
            </w:r>
            <w:r w:rsidRPr="00E75C67">
              <w:t xml:space="preserve">afeguarding is an approach to understanding and responding to young people’s experiences of harm beyond their families.  </w:t>
            </w:r>
          </w:p>
          <w:p w:rsidR="00E75C67" w:rsidRPr="00E75C67" w:rsidRDefault="00E75C67" w:rsidP="00E75C67">
            <w:pPr>
              <w:pStyle w:val="Default"/>
              <w:numPr>
                <w:ilvl w:val="0"/>
                <w:numId w:val="1"/>
              </w:numPr>
              <w:rPr>
                <w:color w:val="auto"/>
              </w:rPr>
            </w:pPr>
            <w:r w:rsidRPr="00E75C67">
              <w:t xml:space="preserve">It recognises that the different relationships young people form in their neighbourhoods, schools and online can feature violence and abuse.  </w:t>
            </w:r>
          </w:p>
          <w:p w:rsidR="00E75C67" w:rsidRPr="00E75C67" w:rsidRDefault="00E75C67" w:rsidP="00E75C67">
            <w:pPr>
              <w:pStyle w:val="Default"/>
              <w:numPr>
                <w:ilvl w:val="0"/>
                <w:numId w:val="1"/>
              </w:numPr>
              <w:rPr>
                <w:color w:val="auto"/>
              </w:rPr>
            </w:pPr>
            <w:r w:rsidRPr="00E75C67">
              <w:t xml:space="preserve">Parents and carers typically have little influence over these contexts and young people’s experiences of extra familial abuse can undermine parent-child relationships. </w:t>
            </w:r>
          </w:p>
          <w:p w:rsidR="00E75C67" w:rsidRDefault="00E75C67" w:rsidP="00E75C67">
            <w:pPr>
              <w:pStyle w:val="Default"/>
              <w:numPr>
                <w:ilvl w:val="0"/>
                <w:numId w:val="1"/>
              </w:numPr>
              <w:rPr>
                <w:color w:val="auto"/>
              </w:rPr>
            </w:pPr>
            <w:r w:rsidRPr="00E75C67">
              <w:rPr>
                <w:color w:val="auto"/>
              </w:rPr>
              <w:t>As individuals move from early childhood and into adolescence</w:t>
            </w:r>
            <w:r>
              <w:rPr>
                <w:color w:val="auto"/>
              </w:rPr>
              <w:t>,</w:t>
            </w:r>
            <w:r w:rsidRPr="00E75C67">
              <w:rPr>
                <w:color w:val="auto"/>
              </w:rPr>
              <w:t xml:space="preserve"> they spend greater amounts of time socialising independently of their families.   </w:t>
            </w:r>
          </w:p>
          <w:p w:rsidR="00E75C67" w:rsidRDefault="00E75C67" w:rsidP="00E75C67">
            <w:pPr>
              <w:pStyle w:val="Default"/>
              <w:numPr>
                <w:ilvl w:val="0"/>
                <w:numId w:val="1"/>
              </w:numPr>
              <w:rPr>
                <w:color w:val="auto"/>
              </w:rPr>
            </w:pPr>
            <w:r w:rsidRPr="00E75C67">
              <w:rPr>
                <w:color w:val="auto"/>
              </w:rPr>
              <w:t xml:space="preserve">During this time, peer relationships are increasingly influential; setting social norms and informing young people’s experiences, behaviours, choices and peer status.  </w:t>
            </w:r>
          </w:p>
          <w:p w:rsidR="00E75C67" w:rsidRPr="00E75C67" w:rsidRDefault="00E75C67" w:rsidP="00E75C67">
            <w:pPr>
              <w:pStyle w:val="Default"/>
              <w:numPr>
                <w:ilvl w:val="0"/>
                <w:numId w:val="1"/>
              </w:numPr>
              <w:rPr>
                <w:color w:val="auto"/>
              </w:rPr>
            </w:pPr>
            <w:r w:rsidRPr="00E75C67">
              <w:rPr>
                <w:color w:val="auto"/>
              </w:rPr>
              <w:t xml:space="preserve">These relationships are shaped by, and shape, the school, neighbourhood and online contexts in which they develop.  </w:t>
            </w:r>
          </w:p>
          <w:p w:rsidR="00E75C67" w:rsidRDefault="00E75C67" w:rsidP="00E75C67">
            <w:pPr>
              <w:pStyle w:val="ListParagraph"/>
              <w:numPr>
                <w:ilvl w:val="0"/>
                <w:numId w:val="1"/>
              </w:numPr>
              <w:rPr>
                <w:rFonts w:ascii="Arial" w:hAnsi="Arial" w:cs="Arial"/>
                <w:sz w:val="24"/>
                <w:szCs w:val="24"/>
              </w:rPr>
            </w:pPr>
            <w:r w:rsidRPr="00E75C67">
              <w:rPr>
                <w:rFonts w:ascii="Arial" w:hAnsi="Arial" w:cs="Arial"/>
                <w:sz w:val="24"/>
                <w:szCs w:val="24"/>
              </w:rPr>
              <w:t xml:space="preserve">The current child protection system and legislative/policy framework which underpins contextual safeguarding was designed to protect children and young people from risks posed by their families or situations where families have reduced capacity to safeguard those in their care.  </w:t>
            </w:r>
          </w:p>
          <w:p w:rsidR="00E75C67" w:rsidRDefault="00E75C67" w:rsidP="00E75C67">
            <w:pPr>
              <w:pStyle w:val="ListParagraph"/>
              <w:numPr>
                <w:ilvl w:val="0"/>
                <w:numId w:val="1"/>
              </w:numPr>
              <w:rPr>
                <w:rFonts w:ascii="Arial" w:hAnsi="Arial" w:cs="Arial"/>
                <w:sz w:val="24"/>
                <w:szCs w:val="24"/>
              </w:rPr>
            </w:pPr>
            <w:r w:rsidRPr="00E75C67">
              <w:rPr>
                <w:rFonts w:ascii="Arial" w:hAnsi="Arial" w:cs="Arial"/>
                <w:sz w:val="24"/>
                <w:szCs w:val="24"/>
              </w:rPr>
              <w:t xml:space="preserve">Contextual </w:t>
            </w:r>
            <w:r>
              <w:rPr>
                <w:rFonts w:ascii="Arial" w:hAnsi="Arial" w:cs="Arial"/>
                <w:sz w:val="24"/>
                <w:szCs w:val="24"/>
              </w:rPr>
              <w:t>s</w:t>
            </w:r>
            <w:r w:rsidRPr="00E75C67">
              <w:rPr>
                <w:rFonts w:ascii="Arial" w:hAnsi="Arial" w:cs="Arial"/>
                <w:sz w:val="24"/>
                <w:szCs w:val="24"/>
              </w:rPr>
              <w:t xml:space="preserve">afeguarding supports the development of approaches which disrupt/change harmful extra familial contexts rather than move families/young people away from them. </w:t>
            </w:r>
          </w:p>
          <w:p w:rsidR="00E75C67" w:rsidRPr="00E75C67" w:rsidRDefault="00E75C67" w:rsidP="00E75C67">
            <w:pPr>
              <w:pStyle w:val="ListParagraph"/>
              <w:numPr>
                <w:ilvl w:val="0"/>
                <w:numId w:val="1"/>
              </w:numPr>
              <w:rPr>
                <w:rFonts w:ascii="Arial" w:hAnsi="Arial" w:cs="Arial"/>
                <w:sz w:val="24"/>
                <w:szCs w:val="24"/>
              </w:rPr>
            </w:pPr>
            <w:r w:rsidRPr="00E75C67">
              <w:rPr>
                <w:rFonts w:ascii="Arial" w:hAnsi="Arial" w:cs="Arial"/>
                <w:sz w:val="24"/>
                <w:szCs w:val="24"/>
              </w:rPr>
              <w:t>The approach extends the concept of ‘capacity to safeguard’ beyond families to those individuals and sectors who manage extra familial settings in which young people may encounter risk.</w:t>
            </w:r>
          </w:p>
        </w:tc>
      </w:tr>
    </w:tbl>
    <w:p w:rsidR="00E75C67" w:rsidRDefault="00E75C67">
      <w:pPr>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E75C67" w:rsidTr="00E75C67">
        <w:tc>
          <w:tcPr>
            <w:tcW w:w="9016" w:type="dxa"/>
          </w:tcPr>
          <w:p w:rsidR="00E75C67" w:rsidRPr="00E75C67" w:rsidRDefault="00E75C67">
            <w:pPr>
              <w:rPr>
                <w:rFonts w:ascii="Arial" w:hAnsi="Arial" w:cs="Arial"/>
                <w:b/>
                <w:sz w:val="24"/>
                <w:szCs w:val="24"/>
              </w:rPr>
            </w:pPr>
            <w:r w:rsidRPr="00E75C67">
              <w:rPr>
                <w:rFonts w:ascii="Arial" w:hAnsi="Arial" w:cs="Arial"/>
                <w:b/>
                <w:sz w:val="24"/>
                <w:szCs w:val="24"/>
              </w:rPr>
              <w:t>The role of professionals:</w:t>
            </w:r>
          </w:p>
          <w:p w:rsidR="00E75C67" w:rsidRDefault="00E75C67" w:rsidP="00E75C67">
            <w:pPr>
              <w:pStyle w:val="ListParagraph"/>
              <w:numPr>
                <w:ilvl w:val="0"/>
                <w:numId w:val="3"/>
              </w:numPr>
              <w:jc w:val="both"/>
              <w:rPr>
                <w:rFonts w:ascii="Arial" w:hAnsi="Arial" w:cs="Arial"/>
                <w:sz w:val="24"/>
                <w:szCs w:val="24"/>
              </w:rPr>
            </w:pPr>
            <w:r w:rsidRPr="00E75C67">
              <w:rPr>
                <w:rFonts w:ascii="Arial" w:hAnsi="Arial" w:cs="Arial"/>
                <w:sz w:val="24"/>
                <w:szCs w:val="24"/>
              </w:rPr>
              <w:t xml:space="preserve">Those working with young people need to engage with individuals and sectors who </w:t>
            </w:r>
            <w:r w:rsidRPr="00E75C67">
              <w:rPr>
                <w:rFonts w:ascii="Arial" w:hAnsi="Arial" w:cs="Arial"/>
                <w:i/>
                <w:sz w:val="24"/>
                <w:szCs w:val="24"/>
                <w:u w:val="single"/>
              </w:rPr>
              <w:t>do</w:t>
            </w:r>
            <w:r w:rsidRPr="00E75C67">
              <w:rPr>
                <w:rFonts w:ascii="Arial" w:hAnsi="Arial" w:cs="Arial"/>
                <w:sz w:val="24"/>
                <w:szCs w:val="24"/>
              </w:rPr>
              <w:t xml:space="preserve"> have influence over/within these extra familial contexts and recognise that intervention with these spaces are a critical part of safeguarding.</w:t>
            </w:r>
          </w:p>
          <w:p w:rsidR="00E75C67" w:rsidRDefault="00E75C67" w:rsidP="00E75C67">
            <w:pPr>
              <w:pStyle w:val="ListParagraph"/>
              <w:numPr>
                <w:ilvl w:val="0"/>
                <w:numId w:val="3"/>
              </w:numPr>
              <w:jc w:val="both"/>
              <w:rPr>
                <w:rFonts w:ascii="Arial" w:hAnsi="Arial" w:cs="Arial"/>
                <w:sz w:val="24"/>
                <w:szCs w:val="24"/>
              </w:rPr>
            </w:pPr>
            <w:r w:rsidRPr="00E75C67">
              <w:rPr>
                <w:rFonts w:ascii="Arial" w:hAnsi="Arial" w:cs="Arial"/>
                <w:sz w:val="24"/>
                <w:szCs w:val="24"/>
              </w:rPr>
              <w:t>The interplay between extra-familial contexts and relationships is crucial.  If young people socialise in safe and protective schools and community settings</w:t>
            </w:r>
            <w:r>
              <w:rPr>
                <w:rFonts w:ascii="Arial" w:hAnsi="Arial" w:cs="Arial"/>
                <w:sz w:val="24"/>
                <w:szCs w:val="24"/>
              </w:rPr>
              <w:t>,</w:t>
            </w:r>
            <w:r w:rsidRPr="00E75C67">
              <w:rPr>
                <w:rFonts w:ascii="Arial" w:hAnsi="Arial" w:cs="Arial"/>
                <w:sz w:val="24"/>
                <w:szCs w:val="24"/>
              </w:rPr>
              <w:t xml:space="preserve"> they will be supported to form safe and protective peer relationships. </w:t>
            </w:r>
          </w:p>
          <w:p w:rsidR="00E75C67" w:rsidRPr="00E75C67" w:rsidRDefault="00E75C67" w:rsidP="00E75C67">
            <w:pPr>
              <w:pStyle w:val="ListParagraph"/>
              <w:numPr>
                <w:ilvl w:val="0"/>
                <w:numId w:val="3"/>
              </w:numPr>
              <w:jc w:val="both"/>
              <w:rPr>
                <w:rFonts w:ascii="Arial" w:hAnsi="Arial" w:cs="Arial"/>
                <w:sz w:val="24"/>
                <w:szCs w:val="24"/>
              </w:rPr>
            </w:pPr>
            <w:r w:rsidRPr="00E75C67">
              <w:rPr>
                <w:rFonts w:ascii="Arial" w:hAnsi="Arial" w:cs="Arial"/>
                <w:sz w:val="24"/>
                <w:szCs w:val="24"/>
              </w:rPr>
              <w:t>Conversely, if they form friendships in contexts characterised by violence and/or harmful attitudes relationships may become anti-social, unsafe or promote problematic social norms.</w:t>
            </w:r>
          </w:p>
        </w:tc>
      </w:tr>
    </w:tbl>
    <w:p w:rsidR="00E75C67" w:rsidRDefault="00E75C67">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E75C67" w:rsidTr="00E75C67">
        <w:tc>
          <w:tcPr>
            <w:tcW w:w="9016" w:type="dxa"/>
          </w:tcPr>
          <w:p w:rsidR="00E75C67" w:rsidRDefault="00E75C67">
            <w:pPr>
              <w:rPr>
                <w:rFonts w:ascii="Arial" w:hAnsi="Arial" w:cs="Arial"/>
                <w:b/>
                <w:sz w:val="24"/>
                <w:szCs w:val="24"/>
              </w:rPr>
            </w:pPr>
            <w:r w:rsidRPr="00E75C67">
              <w:rPr>
                <w:rFonts w:ascii="Arial" w:hAnsi="Arial" w:cs="Arial"/>
                <w:b/>
                <w:sz w:val="24"/>
                <w:szCs w:val="24"/>
              </w:rPr>
              <w:t xml:space="preserve">What </w:t>
            </w:r>
            <w:r>
              <w:rPr>
                <w:rFonts w:ascii="Arial" w:hAnsi="Arial" w:cs="Arial"/>
                <w:b/>
                <w:sz w:val="24"/>
                <w:szCs w:val="24"/>
              </w:rPr>
              <w:t>we are</w:t>
            </w:r>
            <w:r w:rsidRPr="00E75C67">
              <w:rPr>
                <w:rFonts w:ascii="Arial" w:hAnsi="Arial" w:cs="Arial"/>
                <w:b/>
                <w:sz w:val="24"/>
                <w:szCs w:val="24"/>
              </w:rPr>
              <w:t xml:space="preserve"> doing to develop contextual safeguarding in Sussex</w:t>
            </w:r>
            <w:r>
              <w:rPr>
                <w:rFonts w:ascii="Arial" w:hAnsi="Arial" w:cs="Arial"/>
                <w:b/>
                <w:sz w:val="24"/>
                <w:szCs w:val="24"/>
              </w:rPr>
              <w:t>:</w:t>
            </w:r>
          </w:p>
          <w:p w:rsidR="00E75C67" w:rsidRDefault="00E75C67" w:rsidP="00E75C67">
            <w:pPr>
              <w:pStyle w:val="ListParagraph"/>
              <w:numPr>
                <w:ilvl w:val="0"/>
                <w:numId w:val="4"/>
              </w:numPr>
              <w:rPr>
                <w:rFonts w:ascii="Arial" w:hAnsi="Arial" w:cs="Arial"/>
                <w:sz w:val="24"/>
                <w:szCs w:val="24"/>
              </w:rPr>
            </w:pPr>
            <w:r>
              <w:rPr>
                <w:rFonts w:ascii="Arial" w:hAnsi="Arial" w:cs="Arial"/>
                <w:sz w:val="24"/>
                <w:szCs w:val="24"/>
              </w:rPr>
              <w:t>A pan-Sussex contextual safeguarding working group was set up in March 2019 to look at how we can work together with this approach to agree a set of pan-Sussex principles, share good practice and to deliver a pan-Sussex launch event to engage professionals</w:t>
            </w:r>
          </w:p>
          <w:p w:rsidR="00E75C67" w:rsidRPr="00E75C67" w:rsidRDefault="00E75C67" w:rsidP="00E75C67">
            <w:pPr>
              <w:pStyle w:val="ListParagraph"/>
              <w:numPr>
                <w:ilvl w:val="0"/>
                <w:numId w:val="4"/>
              </w:numPr>
              <w:rPr>
                <w:rFonts w:ascii="Arial" w:hAnsi="Arial" w:cs="Arial"/>
                <w:sz w:val="24"/>
                <w:szCs w:val="24"/>
              </w:rPr>
            </w:pPr>
            <w:r>
              <w:rPr>
                <w:rFonts w:ascii="Arial" w:hAnsi="Arial" w:cs="Arial"/>
                <w:sz w:val="24"/>
                <w:szCs w:val="24"/>
              </w:rPr>
              <w:t>The working group is made up of representatives from local authorities across Sussex, Sussex Police and Sussex Clinical Commissioning Groups (CCGs).</w:t>
            </w:r>
          </w:p>
        </w:tc>
      </w:tr>
    </w:tbl>
    <w:p w:rsidR="00EC1616" w:rsidRDefault="00EC1616" w:rsidP="00032092">
      <w:pPr>
        <w:rPr>
          <w:rFonts w:ascii="Arial" w:hAnsi="Arial" w:cs="Arial"/>
          <w:sz w:val="24"/>
          <w:szCs w:val="24"/>
        </w:rPr>
      </w:pPr>
    </w:p>
    <w:tbl>
      <w:tblPr>
        <w:tblStyle w:val="TableGrid"/>
        <w:tblW w:w="0" w:type="auto"/>
        <w:tblLook w:val="04A0" w:firstRow="1" w:lastRow="0" w:firstColumn="1" w:lastColumn="0" w:noHBand="0" w:noVBand="1"/>
      </w:tblPr>
      <w:tblGrid>
        <w:gridCol w:w="6516"/>
        <w:gridCol w:w="2500"/>
      </w:tblGrid>
      <w:tr w:rsidR="00032092" w:rsidRPr="008C23F9" w:rsidTr="000413E4">
        <w:tc>
          <w:tcPr>
            <w:tcW w:w="9016" w:type="dxa"/>
            <w:gridSpan w:val="2"/>
          </w:tcPr>
          <w:p w:rsidR="00032092" w:rsidRPr="008C23F9" w:rsidRDefault="00032092" w:rsidP="000413E4">
            <w:pPr>
              <w:rPr>
                <w:rFonts w:ascii="Arial" w:hAnsi="Arial" w:cs="Arial"/>
                <w:b/>
                <w:sz w:val="24"/>
                <w:szCs w:val="24"/>
              </w:rPr>
            </w:pPr>
            <w:r w:rsidRPr="008C23F9">
              <w:rPr>
                <w:rFonts w:ascii="Arial" w:hAnsi="Arial" w:cs="Arial"/>
                <w:b/>
                <w:sz w:val="24"/>
                <w:szCs w:val="24"/>
              </w:rPr>
              <w:lastRenderedPageBreak/>
              <w:t>How you can find out more about contextual safeguarding:</w:t>
            </w:r>
          </w:p>
        </w:tc>
      </w:tr>
      <w:tr w:rsidR="00032092" w:rsidTr="000413E4">
        <w:tc>
          <w:tcPr>
            <w:tcW w:w="6516" w:type="dxa"/>
          </w:tcPr>
          <w:p w:rsidR="00032092" w:rsidRPr="00DD0010" w:rsidRDefault="00032092" w:rsidP="000413E4">
            <w:pPr>
              <w:rPr>
                <w:rFonts w:ascii="Arial" w:hAnsi="Arial" w:cs="Arial"/>
                <w:sz w:val="24"/>
                <w:szCs w:val="24"/>
              </w:rPr>
            </w:pPr>
            <w:r w:rsidRPr="00DD0010">
              <w:rPr>
                <w:rFonts w:ascii="Arial" w:hAnsi="Arial" w:cs="Arial"/>
                <w:sz w:val="24"/>
                <w:szCs w:val="24"/>
              </w:rPr>
              <w:t xml:space="preserve">Simone Nyarko (2018) </w:t>
            </w:r>
            <w:r w:rsidRPr="00DD0010">
              <w:rPr>
                <w:rFonts w:ascii="Arial" w:hAnsi="Arial" w:cs="Arial"/>
                <w:i/>
                <w:iCs/>
                <w:sz w:val="24"/>
                <w:szCs w:val="24"/>
              </w:rPr>
              <w:t>‘</w:t>
            </w:r>
            <w:proofErr w:type="spellStart"/>
            <w:r w:rsidRPr="00DD0010">
              <w:rPr>
                <w:rFonts w:ascii="Arial" w:hAnsi="Arial" w:cs="Arial"/>
                <w:i/>
                <w:iCs/>
                <w:sz w:val="24"/>
                <w:szCs w:val="24"/>
              </w:rPr>
              <w:t>Languaging</w:t>
            </w:r>
            <w:proofErr w:type="spellEnd"/>
            <w:r w:rsidRPr="00DD0010">
              <w:rPr>
                <w:rFonts w:ascii="Arial" w:hAnsi="Arial" w:cs="Arial"/>
                <w:i/>
                <w:iCs/>
                <w:sz w:val="24"/>
                <w:szCs w:val="24"/>
              </w:rPr>
              <w:t xml:space="preserve"> Child and Adolescent Vulnerability’: A Guide </w:t>
            </w:r>
            <w:proofErr w:type="gramStart"/>
            <w:r w:rsidRPr="00DD0010">
              <w:rPr>
                <w:rFonts w:ascii="Arial" w:hAnsi="Arial" w:cs="Arial"/>
                <w:i/>
                <w:iCs/>
                <w:sz w:val="24"/>
                <w:szCs w:val="24"/>
              </w:rPr>
              <w:t>For</w:t>
            </w:r>
            <w:proofErr w:type="gramEnd"/>
            <w:r w:rsidRPr="00DD0010">
              <w:rPr>
                <w:rFonts w:ascii="Arial" w:hAnsi="Arial" w:cs="Arial"/>
                <w:i/>
                <w:iCs/>
                <w:sz w:val="24"/>
                <w:szCs w:val="24"/>
              </w:rPr>
              <w:t xml:space="preserve"> Professionals and Practitioners supporting children and families in community settings</w:t>
            </w:r>
          </w:p>
        </w:tc>
        <w:tc>
          <w:tcPr>
            <w:tcW w:w="2500" w:type="dxa"/>
          </w:tcPr>
          <w:p w:rsidR="00032092" w:rsidRDefault="00032092" w:rsidP="000413E4">
            <w:pPr>
              <w:rPr>
                <w:rFonts w:ascii="Arial" w:hAnsi="Arial" w:cs="Arial"/>
                <w:sz w:val="24"/>
                <w:szCs w:val="24"/>
              </w:rPr>
            </w:pPr>
            <w:r>
              <w:rPr>
                <w:rFonts w:ascii="Arial" w:hAnsi="Arial" w:cs="Arial"/>
                <w:sz w:val="24"/>
                <w:szCs w:val="24"/>
              </w:rPr>
              <w:object w:dxaOrig="1536" w:dyaOrig="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76.5pt;height:49.5pt" o:ole="">
                  <v:imagedata r:id="rId7" o:title=""/>
                </v:shape>
                <o:OLEObject Type="Embed" ProgID="AcroExch.Document.DC" ShapeID="_x0000_i1061" DrawAspect="Icon" ObjectID="_1655553029" r:id="rId8"/>
              </w:object>
            </w:r>
          </w:p>
        </w:tc>
      </w:tr>
      <w:tr w:rsidR="00032092" w:rsidTr="000413E4">
        <w:tc>
          <w:tcPr>
            <w:tcW w:w="6516" w:type="dxa"/>
          </w:tcPr>
          <w:p w:rsidR="00032092" w:rsidRDefault="00032092" w:rsidP="000413E4">
            <w:pPr>
              <w:rPr>
                <w:rFonts w:ascii="Arial" w:hAnsi="Arial" w:cs="Arial"/>
                <w:sz w:val="24"/>
                <w:szCs w:val="24"/>
              </w:rPr>
            </w:pPr>
            <w:r>
              <w:rPr>
                <w:rFonts w:ascii="Arial" w:hAnsi="Arial" w:cs="Arial"/>
                <w:sz w:val="24"/>
                <w:szCs w:val="24"/>
              </w:rPr>
              <w:t>Contextual Safeguarding Network (2019) implementation toolkit: Context assessment triangles</w:t>
            </w:r>
          </w:p>
        </w:tc>
        <w:tc>
          <w:tcPr>
            <w:tcW w:w="2500" w:type="dxa"/>
          </w:tcPr>
          <w:p w:rsidR="00032092" w:rsidRDefault="00032092" w:rsidP="000413E4">
            <w:pPr>
              <w:rPr>
                <w:rFonts w:ascii="Arial" w:hAnsi="Arial" w:cs="Arial"/>
                <w:sz w:val="24"/>
                <w:szCs w:val="24"/>
              </w:rPr>
            </w:pPr>
            <w:r>
              <w:rPr>
                <w:rFonts w:ascii="Arial" w:hAnsi="Arial" w:cs="Arial"/>
                <w:sz w:val="24"/>
                <w:szCs w:val="24"/>
              </w:rPr>
              <w:object w:dxaOrig="1536" w:dyaOrig="992">
                <v:shape id="_x0000_i1062" type="#_x0000_t75" style="width:76.5pt;height:49.5pt" o:ole="">
                  <v:imagedata r:id="rId9" o:title=""/>
                </v:shape>
                <o:OLEObject Type="Embed" ProgID="AcroExch.Document.DC" ShapeID="_x0000_i1062" DrawAspect="Icon" ObjectID="_1655553030" r:id="rId10"/>
              </w:object>
            </w:r>
          </w:p>
        </w:tc>
      </w:tr>
      <w:tr w:rsidR="00032092" w:rsidTr="000413E4">
        <w:tc>
          <w:tcPr>
            <w:tcW w:w="6516" w:type="dxa"/>
          </w:tcPr>
          <w:p w:rsidR="00032092" w:rsidRDefault="00032092" w:rsidP="000413E4">
            <w:pPr>
              <w:rPr>
                <w:rFonts w:ascii="Arial" w:hAnsi="Arial" w:cs="Arial"/>
                <w:sz w:val="24"/>
                <w:szCs w:val="24"/>
              </w:rPr>
            </w:pPr>
            <w:r>
              <w:rPr>
                <w:rFonts w:ascii="Arial" w:hAnsi="Arial" w:cs="Arial"/>
                <w:sz w:val="24"/>
                <w:szCs w:val="24"/>
              </w:rPr>
              <w:t>Contextual Safeguarding Network (2019) implementation toolkit: Legal framework for implementation</w:t>
            </w:r>
          </w:p>
        </w:tc>
        <w:tc>
          <w:tcPr>
            <w:tcW w:w="2500" w:type="dxa"/>
          </w:tcPr>
          <w:p w:rsidR="00032092" w:rsidRDefault="00032092" w:rsidP="000413E4">
            <w:pPr>
              <w:rPr>
                <w:rFonts w:ascii="Arial" w:hAnsi="Arial" w:cs="Arial"/>
                <w:sz w:val="24"/>
                <w:szCs w:val="24"/>
              </w:rPr>
            </w:pPr>
            <w:r>
              <w:rPr>
                <w:rFonts w:ascii="Arial" w:hAnsi="Arial" w:cs="Arial"/>
                <w:sz w:val="24"/>
                <w:szCs w:val="24"/>
              </w:rPr>
              <w:object w:dxaOrig="1536" w:dyaOrig="992">
                <v:shape id="_x0000_i1063" type="#_x0000_t75" style="width:76.5pt;height:49.5pt" o:ole="">
                  <v:imagedata r:id="rId11" o:title=""/>
                </v:shape>
                <o:OLEObject Type="Embed" ProgID="AcroExch.Document.DC" ShapeID="_x0000_i1063" DrawAspect="Icon" ObjectID="_1655553031" r:id="rId12"/>
              </w:object>
            </w:r>
          </w:p>
        </w:tc>
      </w:tr>
      <w:tr w:rsidR="00032092" w:rsidTr="000413E4">
        <w:tc>
          <w:tcPr>
            <w:tcW w:w="6516" w:type="dxa"/>
          </w:tcPr>
          <w:p w:rsidR="00032092" w:rsidRDefault="00032092" w:rsidP="000413E4">
            <w:pPr>
              <w:rPr>
                <w:rFonts w:ascii="Arial" w:hAnsi="Arial" w:cs="Arial"/>
                <w:sz w:val="24"/>
                <w:szCs w:val="24"/>
              </w:rPr>
            </w:pPr>
            <w:r>
              <w:rPr>
                <w:rFonts w:ascii="Arial" w:hAnsi="Arial" w:cs="Arial"/>
                <w:sz w:val="24"/>
                <w:szCs w:val="24"/>
              </w:rPr>
              <w:t>Contextual Safeguarding Network (2019) implementation toolkit: Context weighting infographic</w:t>
            </w:r>
          </w:p>
        </w:tc>
        <w:tc>
          <w:tcPr>
            <w:tcW w:w="2500" w:type="dxa"/>
          </w:tcPr>
          <w:p w:rsidR="00032092" w:rsidRDefault="00032092" w:rsidP="000413E4">
            <w:pPr>
              <w:rPr>
                <w:rFonts w:ascii="Arial" w:hAnsi="Arial" w:cs="Arial"/>
                <w:sz w:val="24"/>
                <w:szCs w:val="24"/>
              </w:rPr>
            </w:pPr>
            <w:r>
              <w:rPr>
                <w:rFonts w:ascii="Arial" w:hAnsi="Arial" w:cs="Arial"/>
                <w:sz w:val="24"/>
                <w:szCs w:val="24"/>
              </w:rPr>
              <w:object w:dxaOrig="1536" w:dyaOrig="992">
                <v:shape id="_x0000_i1064" type="#_x0000_t75" style="width:76.5pt;height:49.5pt" o:ole="">
                  <v:imagedata r:id="rId13" o:title=""/>
                </v:shape>
                <o:OLEObject Type="Embed" ProgID="AcroExch.Document.DC" ShapeID="_x0000_i1064" DrawAspect="Icon" ObjectID="_1655553032" r:id="rId14"/>
              </w:object>
            </w:r>
          </w:p>
        </w:tc>
      </w:tr>
      <w:tr w:rsidR="00032092" w:rsidTr="000413E4">
        <w:tc>
          <w:tcPr>
            <w:tcW w:w="6516" w:type="dxa"/>
          </w:tcPr>
          <w:p w:rsidR="00032092" w:rsidRDefault="00032092" w:rsidP="000413E4">
            <w:pPr>
              <w:rPr>
                <w:rFonts w:ascii="Arial" w:hAnsi="Arial" w:cs="Arial"/>
                <w:sz w:val="24"/>
                <w:szCs w:val="24"/>
              </w:rPr>
            </w:pPr>
            <w:r>
              <w:rPr>
                <w:rFonts w:ascii="Arial" w:hAnsi="Arial" w:cs="Arial"/>
                <w:sz w:val="24"/>
                <w:szCs w:val="24"/>
              </w:rPr>
              <w:t>Contextual Safeguarding Network (2020): Operational, strategic and conceptual framework update</w:t>
            </w:r>
          </w:p>
        </w:tc>
        <w:tc>
          <w:tcPr>
            <w:tcW w:w="2500" w:type="dxa"/>
          </w:tcPr>
          <w:p w:rsidR="00032092" w:rsidRDefault="00032092" w:rsidP="000413E4">
            <w:pPr>
              <w:rPr>
                <w:rFonts w:ascii="Arial" w:hAnsi="Arial" w:cs="Arial"/>
                <w:sz w:val="24"/>
                <w:szCs w:val="24"/>
              </w:rPr>
            </w:pPr>
            <w:r>
              <w:rPr>
                <w:rFonts w:ascii="Arial" w:hAnsi="Arial" w:cs="Arial"/>
                <w:sz w:val="24"/>
                <w:szCs w:val="24"/>
              </w:rPr>
              <w:object w:dxaOrig="1536" w:dyaOrig="992">
                <v:shape id="_x0000_i1065" type="#_x0000_t75" style="width:76.5pt;height:49.5pt" o:ole="">
                  <v:imagedata r:id="rId15" o:title=""/>
                </v:shape>
                <o:OLEObject Type="Embed" ProgID="AcroExch.Document.DC" ShapeID="_x0000_i1065" DrawAspect="Icon" ObjectID="_1655553033" r:id="rId16"/>
              </w:object>
            </w:r>
          </w:p>
        </w:tc>
      </w:tr>
      <w:tr w:rsidR="00032092" w:rsidTr="000413E4">
        <w:tc>
          <w:tcPr>
            <w:tcW w:w="6516" w:type="dxa"/>
          </w:tcPr>
          <w:p w:rsidR="00032092" w:rsidRDefault="00032092" w:rsidP="000413E4">
            <w:pPr>
              <w:rPr>
                <w:rFonts w:ascii="Arial" w:hAnsi="Arial" w:cs="Arial"/>
                <w:sz w:val="24"/>
                <w:szCs w:val="24"/>
              </w:rPr>
            </w:pPr>
            <w:r>
              <w:rPr>
                <w:rFonts w:ascii="Arial" w:hAnsi="Arial" w:cs="Arial"/>
                <w:sz w:val="24"/>
                <w:szCs w:val="24"/>
              </w:rPr>
              <w:t>Contextual Safeguarding Network (2020): Two-tiers of contextual safeguarding infographic</w:t>
            </w:r>
          </w:p>
        </w:tc>
        <w:tc>
          <w:tcPr>
            <w:tcW w:w="2500" w:type="dxa"/>
          </w:tcPr>
          <w:p w:rsidR="00032092" w:rsidRDefault="00032092" w:rsidP="000413E4">
            <w:pPr>
              <w:rPr>
                <w:rFonts w:ascii="Arial" w:hAnsi="Arial" w:cs="Arial"/>
                <w:sz w:val="24"/>
                <w:szCs w:val="24"/>
              </w:rPr>
            </w:pPr>
            <w:r>
              <w:rPr>
                <w:rFonts w:ascii="Arial" w:hAnsi="Arial" w:cs="Arial"/>
                <w:sz w:val="24"/>
                <w:szCs w:val="24"/>
              </w:rPr>
              <w:object w:dxaOrig="1536" w:dyaOrig="992">
                <v:shape id="_x0000_i1066" type="#_x0000_t75" style="width:76.5pt;height:49.5pt" o:ole="">
                  <v:imagedata r:id="rId17" o:title=""/>
                </v:shape>
                <o:OLEObject Type="Embed" ProgID="AcroExch.Document.DC" ShapeID="_x0000_i1066" DrawAspect="Icon" ObjectID="_1655553034" r:id="rId18"/>
              </w:object>
            </w:r>
          </w:p>
        </w:tc>
      </w:tr>
      <w:tr w:rsidR="00032092" w:rsidTr="000413E4">
        <w:tc>
          <w:tcPr>
            <w:tcW w:w="6516" w:type="dxa"/>
          </w:tcPr>
          <w:p w:rsidR="00032092" w:rsidRDefault="00032092" w:rsidP="000413E4">
            <w:pPr>
              <w:rPr>
                <w:rFonts w:ascii="Arial" w:hAnsi="Arial" w:cs="Arial"/>
                <w:sz w:val="24"/>
                <w:szCs w:val="24"/>
              </w:rPr>
            </w:pPr>
            <w:r>
              <w:rPr>
                <w:rFonts w:ascii="Arial" w:hAnsi="Arial" w:cs="Arial"/>
                <w:sz w:val="24"/>
                <w:szCs w:val="24"/>
              </w:rPr>
              <w:t xml:space="preserve">Pan-Sussex Safeguarding Children Partnerships’ (2020) principles of contextual safeguarding infographic </w:t>
            </w:r>
          </w:p>
        </w:tc>
        <w:tc>
          <w:tcPr>
            <w:tcW w:w="2500" w:type="dxa"/>
          </w:tcPr>
          <w:p w:rsidR="00032092" w:rsidRDefault="00032092" w:rsidP="000413E4">
            <w:pPr>
              <w:rPr>
                <w:rFonts w:ascii="Arial" w:hAnsi="Arial" w:cs="Arial"/>
                <w:sz w:val="24"/>
                <w:szCs w:val="24"/>
              </w:rPr>
            </w:pPr>
            <w:r>
              <w:rPr>
                <w:rFonts w:ascii="Arial" w:hAnsi="Arial" w:cs="Arial"/>
                <w:sz w:val="24"/>
                <w:szCs w:val="24"/>
              </w:rPr>
              <w:object w:dxaOrig="1536" w:dyaOrig="992">
                <v:shape id="_x0000_i1067" type="#_x0000_t75" style="width:76.5pt;height:49.5pt" o:ole="">
                  <v:imagedata r:id="rId19" o:title=""/>
                </v:shape>
                <o:OLEObject Type="Embed" ProgID="AcroExch.Document.DC" ShapeID="_x0000_i1067" DrawAspect="Icon" ObjectID="_1655553035" r:id="rId20"/>
              </w:object>
            </w:r>
          </w:p>
        </w:tc>
      </w:tr>
      <w:tr w:rsidR="00032092" w:rsidTr="000413E4">
        <w:tc>
          <w:tcPr>
            <w:tcW w:w="9016" w:type="dxa"/>
            <w:gridSpan w:val="2"/>
          </w:tcPr>
          <w:p w:rsidR="00032092" w:rsidRDefault="00032092" w:rsidP="000413E4">
            <w:pPr>
              <w:rPr>
                <w:rFonts w:ascii="Arial" w:hAnsi="Arial" w:cs="Arial"/>
                <w:sz w:val="24"/>
                <w:szCs w:val="24"/>
              </w:rPr>
            </w:pPr>
            <w:r w:rsidRPr="00EC1616">
              <w:rPr>
                <w:rFonts w:ascii="Arial" w:hAnsi="Arial" w:cs="Arial"/>
                <w:sz w:val="24"/>
                <w:szCs w:val="24"/>
              </w:rPr>
              <w:t xml:space="preserve">Click </w:t>
            </w:r>
            <w:hyperlink r:id="rId21" w:history="1">
              <w:r w:rsidRPr="00EC1616">
                <w:rPr>
                  <w:rStyle w:val="Hyperlink"/>
                  <w:rFonts w:ascii="Arial" w:hAnsi="Arial" w:cs="Arial"/>
                  <w:sz w:val="24"/>
                  <w:szCs w:val="24"/>
                </w:rPr>
                <w:t>here</w:t>
              </w:r>
            </w:hyperlink>
            <w:r w:rsidRPr="00EC1616">
              <w:rPr>
                <w:rFonts w:ascii="Arial" w:hAnsi="Arial" w:cs="Arial"/>
                <w:sz w:val="24"/>
                <w:szCs w:val="24"/>
              </w:rPr>
              <w:t xml:space="preserve"> to read </w:t>
            </w:r>
            <w:r w:rsidRPr="00EC1616">
              <w:rPr>
                <w:rFonts w:ascii="Arial" w:hAnsi="Arial" w:cs="Arial"/>
                <w:i/>
                <w:sz w:val="24"/>
                <w:szCs w:val="24"/>
              </w:rPr>
              <w:t>Working Together</w:t>
            </w:r>
            <w:r w:rsidRPr="00EC1616">
              <w:rPr>
                <w:rFonts w:ascii="Arial" w:hAnsi="Arial" w:cs="Arial"/>
                <w:sz w:val="24"/>
                <w:szCs w:val="24"/>
              </w:rPr>
              <w:t xml:space="preserve"> </w:t>
            </w:r>
            <w:r w:rsidRPr="00EC1616">
              <w:rPr>
                <w:rFonts w:ascii="Arial" w:hAnsi="Arial" w:cs="Arial"/>
                <w:i/>
                <w:sz w:val="24"/>
                <w:szCs w:val="24"/>
              </w:rPr>
              <w:t>to Safeguard Children 2018</w:t>
            </w:r>
            <w:r w:rsidRPr="00EC1616">
              <w:rPr>
                <w:rFonts w:ascii="Arial" w:hAnsi="Arial" w:cs="Arial"/>
                <w:sz w:val="24"/>
                <w:szCs w:val="24"/>
              </w:rPr>
              <w:t xml:space="preserve"> guidance in relation to Contextual Safeguarding (p22)</w:t>
            </w:r>
          </w:p>
        </w:tc>
      </w:tr>
      <w:tr w:rsidR="00032092" w:rsidRPr="00EC1616" w:rsidTr="000413E4">
        <w:tc>
          <w:tcPr>
            <w:tcW w:w="9016" w:type="dxa"/>
            <w:gridSpan w:val="2"/>
          </w:tcPr>
          <w:p w:rsidR="00032092" w:rsidRPr="00EC1616" w:rsidRDefault="00032092" w:rsidP="000413E4">
            <w:pPr>
              <w:spacing w:before="120" w:after="120" w:line="276" w:lineRule="auto"/>
              <w:rPr>
                <w:rFonts w:ascii="Arial" w:hAnsi="Arial" w:cs="Arial"/>
                <w:sz w:val="24"/>
                <w:szCs w:val="24"/>
              </w:rPr>
            </w:pPr>
            <w:r w:rsidRPr="00EC1616">
              <w:rPr>
                <w:rFonts w:ascii="Arial" w:hAnsi="Arial" w:cs="Arial"/>
                <w:sz w:val="24"/>
                <w:szCs w:val="24"/>
              </w:rPr>
              <w:t xml:space="preserve">Join the </w:t>
            </w:r>
            <w:hyperlink r:id="rId22" w:history="1">
              <w:r w:rsidRPr="00EC1616">
                <w:rPr>
                  <w:rStyle w:val="Hyperlink"/>
                  <w:rFonts w:ascii="Arial" w:hAnsi="Arial" w:cs="Arial"/>
                  <w:sz w:val="24"/>
                  <w:szCs w:val="24"/>
                </w:rPr>
                <w:t>Contextual Safeguarding Network</w:t>
              </w:r>
            </w:hyperlink>
          </w:p>
        </w:tc>
      </w:tr>
      <w:tr w:rsidR="00032092" w:rsidRPr="00EC1616" w:rsidTr="000413E4">
        <w:tc>
          <w:tcPr>
            <w:tcW w:w="9016" w:type="dxa"/>
            <w:gridSpan w:val="2"/>
          </w:tcPr>
          <w:p w:rsidR="00032092" w:rsidRPr="00EC1616" w:rsidRDefault="00032092" w:rsidP="000413E4">
            <w:pPr>
              <w:spacing w:before="120" w:after="120" w:line="276" w:lineRule="auto"/>
              <w:rPr>
                <w:rFonts w:ascii="Arial" w:hAnsi="Arial" w:cs="Arial"/>
                <w:sz w:val="24"/>
                <w:szCs w:val="24"/>
              </w:rPr>
            </w:pPr>
            <w:r>
              <w:rPr>
                <w:rFonts w:ascii="Arial" w:hAnsi="Arial" w:cs="Arial"/>
                <w:sz w:val="24"/>
                <w:szCs w:val="24"/>
              </w:rPr>
              <w:t xml:space="preserve">Click </w:t>
            </w:r>
            <w:hyperlink r:id="rId23" w:history="1">
              <w:r w:rsidRPr="00032092">
                <w:rPr>
                  <w:rStyle w:val="Hyperlink"/>
                  <w:rFonts w:ascii="Arial" w:hAnsi="Arial" w:cs="Arial"/>
                  <w:sz w:val="24"/>
                  <w:szCs w:val="24"/>
                </w:rPr>
                <w:t>here</w:t>
              </w:r>
            </w:hyperlink>
            <w:r>
              <w:rPr>
                <w:rFonts w:ascii="Arial" w:hAnsi="Arial" w:cs="Arial"/>
                <w:sz w:val="24"/>
                <w:szCs w:val="24"/>
              </w:rPr>
              <w:t xml:space="preserve"> to find out more about the intersection of contextual safeguarding and Public Health approaches and what insights it offers for keeping young people safe</w:t>
            </w:r>
          </w:p>
        </w:tc>
      </w:tr>
      <w:tr w:rsidR="00032092" w:rsidTr="000413E4">
        <w:tc>
          <w:tcPr>
            <w:tcW w:w="9016" w:type="dxa"/>
            <w:gridSpan w:val="2"/>
          </w:tcPr>
          <w:p w:rsidR="00032092" w:rsidRDefault="00032092" w:rsidP="000413E4">
            <w:pPr>
              <w:spacing w:before="120" w:after="120" w:line="276" w:lineRule="auto"/>
              <w:rPr>
                <w:rFonts w:ascii="Arial" w:hAnsi="Arial" w:cs="Arial"/>
                <w:sz w:val="24"/>
                <w:szCs w:val="24"/>
              </w:rPr>
            </w:pPr>
            <w:r>
              <w:rPr>
                <w:rFonts w:ascii="Arial" w:hAnsi="Arial" w:cs="Arial"/>
                <w:sz w:val="24"/>
                <w:szCs w:val="24"/>
              </w:rPr>
              <w:t xml:space="preserve">Click </w:t>
            </w:r>
            <w:hyperlink r:id="rId24" w:history="1">
              <w:r w:rsidRPr="00032092">
                <w:rPr>
                  <w:rStyle w:val="Hyperlink"/>
                  <w:rFonts w:ascii="Arial" w:hAnsi="Arial" w:cs="Arial"/>
                  <w:sz w:val="24"/>
                  <w:szCs w:val="24"/>
                </w:rPr>
                <w:t>here</w:t>
              </w:r>
            </w:hyperlink>
            <w:r>
              <w:rPr>
                <w:rFonts w:ascii="Arial" w:hAnsi="Arial" w:cs="Arial"/>
                <w:sz w:val="24"/>
                <w:szCs w:val="24"/>
              </w:rPr>
              <w:t xml:space="preserve"> to watch a one-minute film about safeguarding teenagers from sexual exploitation and violence outside the home</w:t>
            </w:r>
          </w:p>
        </w:tc>
      </w:tr>
      <w:tr w:rsidR="00032092" w:rsidTr="000413E4">
        <w:tc>
          <w:tcPr>
            <w:tcW w:w="9016" w:type="dxa"/>
            <w:gridSpan w:val="2"/>
          </w:tcPr>
          <w:p w:rsidR="00032092" w:rsidRDefault="00032092" w:rsidP="000413E4">
            <w:pPr>
              <w:spacing w:before="120" w:after="120" w:line="276" w:lineRule="auto"/>
              <w:rPr>
                <w:rFonts w:ascii="Arial" w:hAnsi="Arial" w:cs="Arial"/>
                <w:sz w:val="24"/>
                <w:szCs w:val="24"/>
              </w:rPr>
            </w:pPr>
            <w:r>
              <w:rPr>
                <w:rFonts w:ascii="Arial" w:hAnsi="Arial" w:cs="Arial"/>
                <w:sz w:val="24"/>
                <w:szCs w:val="24"/>
              </w:rPr>
              <w:t xml:space="preserve">Click </w:t>
            </w:r>
            <w:hyperlink r:id="rId25" w:history="1">
              <w:r w:rsidRPr="00032092">
                <w:rPr>
                  <w:rStyle w:val="Hyperlink"/>
                  <w:rFonts w:ascii="Arial" w:hAnsi="Arial" w:cs="Arial"/>
                  <w:sz w:val="24"/>
                  <w:szCs w:val="24"/>
                </w:rPr>
                <w:t>here</w:t>
              </w:r>
            </w:hyperlink>
            <w:r>
              <w:rPr>
                <w:rFonts w:ascii="Arial" w:hAnsi="Arial" w:cs="Arial"/>
                <w:sz w:val="24"/>
                <w:szCs w:val="24"/>
              </w:rPr>
              <w:t xml:space="preserve"> to watch a two-minute film about what contextual safeguarding is</w:t>
            </w:r>
          </w:p>
        </w:tc>
      </w:tr>
      <w:tr w:rsidR="00032092" w:rsidTr="000413E4">
        <w:tc>
          <w:tcPr>
            <w:tcW w:w="9016" w:type="dxa"/>
            <w:gridSpan w:val="2"/>
          </w:tcPr>
          <w:p w:rsidR="00032092" w:rsidRDefault="00032092" w:rsidP="000413E4">
            <w:pPr>
              <w:spacing w:before="120" w:after="120" w:line="276" w:lineRule="auto"/>
              <w:rPr>
                <w:rFonts w:ascii="Arial" w:hAnsi="Arial" w:cs="Arial"/>
                <w:sz w:val="24"/>
                <w:szCs w:val="24"/>
              </w:rPr>
            </w:pPr>
            <w:r>
              <w:rPr>
                <w:rFonts w:ascii="Arial" w:hAnsi="Arial" w:cs="Arial"/>
                <w:sz w:val="24"/>
                <w:szCs w:val="24"/>
              </w:rPr>
              <w:t xml:space="preserve">Click </w:t>
            </w:r>
            <w:hyperlink r:id="rId26" w:history="1">
              <w:r w:rsidRPr="00032092">
                <w:rPr>
                  <w:rStyle w:val="Hyperlink"/>
                  <w:rFonts w:ascii="Arial" w:hAnsi="Arial" w:cs="Arial"/>
                  <w:sz w:val="24"/>
                  <w:szCs w:val="24"/>
                </w:rPr>
                <w:t>here</w:t>
              </w:r>
            </w:hyperlink>
            <w:r>
              <w:rPr>
                <w:rFonts w:ascii="Arial" w:hAnsi="Arial" w:cs="Arial"/>
                <w:sz w:val="24"/>
                <w:szCs w:val="24"/>
              </w:rPr>
              <w:t xml:space="preserve"> to watch a four-minute film about the principles of contextual safeguarding</w:t>
            </w:r>
          </w:p>
        </w:tc>
      </w:tr>
      <w:tr w:rsidR="00032092" w:rsidTr="000413E4">
        <w:tc>
          <w:tcPr>
            <w:tcW w:w="9016" w:type="dxa"/>
            <w:gridSpan w:val="2"/>
          </w:tcPr>
          <w:p w:rsidR="00032092" w:rsidRDefault="00032092" w:rsidP="000413E4">
            <w:pPr>
              <w:spacing w:before="120" w:after="120" w:line="276" w:lineRule="auto"/>
              <w:rPr>
                <w:rFonts w:ascii="Arial" w:hAnsi="Arial" w:cs="Arial"/>
                <w:sz w:val="24"/>
                <w:szCs w:val="24"/>
              </w:rPr>
            </w:pPr>
            <w:r>
              <w:rPr>
                <w:rFonts w:ascii="Arial" w:hAnsi="Arial" w:cs="Arial"/>
                <w:sz w:val="24"/>
                <w:szCs w:val="24"/>
              </w:rPr>
              <w:t xml:space="preserve">Click </w:t>
            </w:r>
            <w:hyperlink r:id="rId27" w:history="1">
              <w:r w:rsidRPr="00032092">
                <w:rPr>
                  <w:rStyle w:val="Hyperlink"/>
                  <w:rFonts w:ascii="Arial" w:hAnsi="Arial" w:cs="Arial"/>
                  <w:sz w:val="24"/>
                  <w:szCs w:val="24"/>
                </w:rPr>
                <w:t>here</w:t>
              </w:r>
            </w:hyperlink>
            <w:r>
              <w:rPr>
                <w:rFonts w:ascii="Arial" w:hAnsi="Arial" w:cs="Arial"/>
                <w:sz w:val="24"/>
                <w:szCs w:val="24"/>
              </w:rPr>
              <w:t xml:space="preserve"> to watch a </w:t>
            </w:r>
            <w:proofErr w:type="gramStart"/>
            <w:r>
              <w:rPr>
                <w:rFonts w:ascii="Arial" w:hAnsi="Arial" w:cs="Arial"/>
                <w:sz w:val="24"/>
                <w:szCs w:val="24"/>
              </w:rPr>
              <w:t>30 minute</w:t>
            </w:r>
            <w:proofErr w:type="gramEnd"/>
            <w:r>
              <w:rPr>
                <w:rFonts w:ascii="Arial" w:hAnsi="Arial" w:cs="Arial"/>
                <w:sz w:val="24"/>
                <w:szCs w:val="24"/>
              </w:rPr>
              <w:t xml:space="preserve"> presentation about some of the principles and theory of contextual safeguarding</w:t>
            </w:r>
          </w:p>
        </w:tc>
      </w:tr>
    </w:tbl>
    <w:p w:rsidR="00032092" w:rsidRPr="00E75C67" w:rsidRDefault="00032092" w:rsidP="00032092">
      <w:pPr>
        <w:rPr>
          <w:rFonts w:ascii="Arial" w:hAnsi="Arial" w:cs="Arial"/>
          <w:sz w:val="24"/>
          <w:szCs w:val="24"/>
        </w:rPr>
      </w:pPr>
      <w:bookmarkStart w:id="0" w:name="_GoBack"/>
      <w:bookmarkEnd w:id="0"/>
    </w:p>
    <w:sectPr w:rsidR="00032092" w:rsidRPr="00E75C67">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5C67" w:rsidRDefault="00E75C67" w:rsidP="00E75C67">
      <w:pPr>
        <w:spacing w:after="0" w:line="240" w:lineRule="auto"/>
      </w:pPr>
      <w:r>
        <w:separator/>
      </w:r>
    </w:p>
  </w:endnote>
  <w:endnote w:type="continuationSeparator" w:id="0">
    <w:p w:rsidR="00E75C67" w:rsidRDefault="00E75C67" w:rsidP="00E75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C67" w:rsidRPr="00E75C67" w:rsidRDefault="00DD0010">
    <w:pPr>
      <w:pStyle w:val="Footer"/>
      <w:rPr>
        <w:rFonts w:ascii="Arial" w:hAnsi="Arial" w:cs="Arial"/>
      </w:rPr>
    </w:pPr>
    <w:r>
      <w:rPr>
        <w:rFonts w:ascii="Arial" w:hAnsi="Arial" w:cs="Arial"/>
      </w:rPr>
      <w:t>Pan-Sussex Safeguarding Children Partnerships’ c</w:t>
    </w:r>
    <w:r w:rsidR="00E75C67">
      <w:rPr>
        <w:rFonts w:ascii="Arial" w:hAnsi="Arial" w:cs="Arial"/>
      </w:rPr>
      <w:t>ontextual safeguarding starter pack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5C67" w:rsidRDefault="00E75C67" w:rsidP="00E75C67">
      <w:pPr>
        <w:spacing w:after="0" w:line="240" w:lineRule="auto"/>
      </w:pPr>
      <w:r>
        <w:separator/>
      </w:r>
    </w:p>
  </w:footnote>
  <w:footnote w:type="continuationSeparator" w:id="0">
    <w:p w:rsidR="00E75C67" w:rsidRDefault="00E75C67" w:rsidP="00E75C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190"/>
      <w:gridCol w:w="2916"/>
      <w:gridCol w:w="1709"/>
    </w:tblGrid>
    <w:tr w:rsidR="00DD0010" w:rsidTr="00E75C67">
      <w:tc>
        <w:tcPr>
          <w:tcW w:w="2254" w:type="dxa"/>
        </w:tcPr>
        <w:p w:rsidR="00E75C67" w:rsidRDefault="00E75C67">
          <w:pPr>
            <w:pStyle w:val="Header"/>
          </w:pPr>
          <w:r w:rsidRPr="00E75C67">
            <w:rPr>
              <w:noProof/>
            </w:rPr>
            <w:drawing>
              <wp:inline distT="0" distB="0" distL="0" distR="0">
                <wp:extent cx="1190625" cy="67631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702287"/>
                        </a:xfrm>
                        <a:prstGeom prst="rect">
                          <a:avLst/>
                        </a:prstGeom>
                        <a:noFill/>
                        <a:ln>
                          <a:noFill/>
                        </a:ln>
                      </pic:spPr>
                    </pic:pic>
                  </a:graphicData>
                </a:graphic>
              </wp:inline>
            </w:drawing>
          </w:r>
        </w:p>
      </w:tc>
      <w:tc>
        <w:tcPr>
          <w:tcW w:w="2254" w:type="dxa"/>
        </w:tcPr>
        <w:p w:rsidR="00E75C67" w:rsidRDefault="00E75C67">
          <w:pPr>
            <w:pStyle w:val="Header"/>
          </w:pPr>
          <w:r>
            <w:rPr>
              <w:noProof/>
            </w:rPr>
            <w:drawing>
              <wp:inline distT="0" distB="0" distL="0" distR="0">
                <wp:extent cx="1143000" cy="7135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 BHSCP logo pink.text.jpg"/>
                        <pic:cNvPicPr/>
                      </pic:nvPicPr>
                      <pic:blipFill>
                        <a:blip r:embed="rId2">
                          <a:extLst>
                            <a:ext uri="{28A0092B-C50C-407E-A947-70E740481C1C}">
                              <a14:useLocalDpi xmlns:a14="http://schemas.microsoft.com/office/drawing/2010/main" val="0"/>
                            </a:ext>
                          </a:extLst>
                        </a:blip>
                        <a:stretch>
                          <a:fillRect/>
                        </a:stretch>
                      </pic:blipFill>
                      <pic:spPr>
                        <a:xfrm>
                          <a:off x="0" y="0"/>
                          <a:ext cx="1237552" cy="772593"/>
                        </a:xfrm>
                        <a:prstGeom prst="rect">
                          <a:avLst/>
                        </a:prstGeom>
                      </pic:spPr>
                    </pic:pic>
                  </a:graphicData>
                </a:graphic>
              </wp:inline>
            </w:drawing>
          </w:r>
        </w:p>
      </w:tc>
      <w:tc>
        <w:tcPr>
          <w:tcW w:w="2254" w:type="dxa"/>
        </w:tcPr>
        <w:p w:rsidR="00E75C67" w:rsidRDefault="00E75C67">
          <w:pPr>
            <w:pStyle w:val="Header"/>
          </w:pPr>
          <w:r w:rsidRPr="00E75C67">
            <w:rPr>
              <w:noProof/>
            </w:rPr>
            <w:drawing>
              <wp:inline distT="0" distB="0" distL="0" distR="0">
                <wp:extent cx="1714500" cy="73908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83994" cy="769040"/>
                        </a:xfrm>
                        <a:prstGeom prst="rect">
                          <a:avLst/>
                        </a:prstGeom>
                        <a:noFill/>
                        <a:ln>
                          <a:noFill/>
                        </a:ln>
                      </pic:spPr>
                    </pic:pic>
                  </a:graphicData>
                </a:graphic>
              </wp:inline>
            </w:drawing>
          </w:r>
        </w:p>
      </w:tc>
      <w:tc>
        <w:tcPr>
          <w:tcW w:w="2254" w:type="dxa"/>
        </w:tcPr>
        <w:p w:rsidR="00E75C67" w:rsidRPr="00E75C67" w:rsidRDefault="00E75C67">
          <w:pPr>
            <w:pStyle w:val="Header"/>
            <w:rPr>
              <w:rFonts w:ascii="Arial" w:hAnsi="Arial" w:cs="Arial"/>
              <w:b/>
              <w:sz w:val="20"/>
              <w:szCs w:val="20"/>
            </w:rPr>
          </w:pPr>
        </w:p>
      </w:tc>
    </w:tr>
  </w:tbl>
  <w:p w:rsidR="00E75C67" w:rsidRDefault="00E75C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3440E"/>
    <w:multiLevelType w:val="hybridMultilevel"/>
    <w:tmpl w:val="2CFAC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6107AE"/>
    <w:multiLevelType w:val="hybridMultilevel"/>
    <w:tmpl w:val="8118D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0D95293"/>
    <w:multiLevelType w:val="hybridMultilevel"/>
    <w:tmpl w:val="33220AD0"/>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3F6079B2"/>
    <w:multiLevelType w:val="hybridMultilevel"/>
    <w:tmpl w:val="0A4A3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1D83049"/>
    <w:multiLevelType w:val="hybridMultilevel"/>
    <w:tmpl w:val="16566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CA469F4"/>
    <w:multiLevelType w:val="hybridMultilevel"/>
    <w:tmpl w:val="26EA3748"/>
    <w:lvl w:ilvl="0" w:tplc="1CFC67A6">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lvlOverride w:ilvl="0"/>
    <w:lvlOverride w:ilvl="1"/>
    <w:lvlOverride w:ilvl="2"/>
    <w:lvlOverride w:ilvl="3"/>
    <w:lvlOverride w:ilvl="4"/>
    <w:lvlOverride w:ilvl="5"/>
    <w:lvlOverride w:ilvl="6"/>
    <w:lvlOverride w:ilvl="7"/>
    <w:lvlOverride w:ilvl="8"/>
  </w:num>
  <w:num w:numId="6">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C67"/>
    <w:rsid w:val="00032092"/>
    <w:rsid w:val="007552AA"/>
    <w:rsid w:val="008C23F9"/>
    <w:rsid w:val="00DD0010"/>
    <w:rsid w:val="00E75C67"/>
    <w:rsid w:val="00EC1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C52CC"/>
  <w15:chartTrackingRefBased/>
  <w15:docId w15:val="{DEC0657F-C559-4173-9199-1023D8318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C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C67"/>
  </w:style>
  <w:style w:type="paragraph" w:styleId="Footer">
    <w:name w:val="footer"/>
    <w:basedOn w:val="Normal"/>
    <w:link w:val="FooterChar"/>
    <w:uiPriority w:val="99"/>
    <w:unhideWhenUsed/>
    <w:rsid w:val="00E75C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C67"/>
  </w:style>
  <w:style w:type="table" w:styleId="TableGrid">
    <w:name w:val="Table Grid"/>
    <w:basedOn w:val="TableNormal"/>
    <w:uiPriority w:val="39"/>
    <w:rsid w:val="00E75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5C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C67"/>
    <w:rPr>
      <w:rFonts w:ascii="Segoe UI" w:hAnsi="Segoe UI" w:cs="Segoe UI"/>
      <w:sz w:val="18"/>
      <w:szCs w:val="18"/>
    </w:rPr>
  </w:style>
  <w:style w:type="paragraph" w:customStyle="1" w:styleId="Default">
    <w:name w:val="Default"/>
    <w:rsid w:val="00E75C67"/>
    <w:pPr>
      <w:autoSpaceDE w:val="0"/>
      <w:autoSpaceDN w:val="0"/>
      <w:adjustRightInd w:val="0"/>
      <w:spacing w:after="0" w:line="240" w:lineRule="auto"/>
    </w:pPr>
    <w:rPr>
      <w:rFonts w:ascii="Arial" w:eastAsia="Calibri" w:hAnsi="Arial" w:cs="Arial"/>
      <w:color w:val="000000"/>
      <w:sz w:val="24"/>
      <w:szCs w:val="24"/>
      <w:lang w:eastAsia="en-GB"/>
    </w:rPr>
  </w:style>
  <w:style w:type="paragraph" w:styleId="ListParagraph">
    <w:name w:val="List Paragraph"/>
    <w:basedOn w:val="Normal"/>
    <w:uiPriority w:val="34"/>
    <w:qFormat/>
    <w:rsid w:val="00E75C67"/>
    <w:pPr>
      <w:ind w:left="720"/>
      <w:contextualSpacing/>
    </w:pPr>
  </w:style>
  <w:style w:type="character" w:styleId="Hyperlink">
    <w:name w:val="Hyperlink"/>
    <w:basedOn w:val="DefaultParagraphFont"/>
    <w:uiPriority w:val="99"/>
    <w:unhideWhenUsed/>
    <w:rsid w:val="00EC1616"/>
    <w:rPr>
      <w:color w:val="0563C1" w:themeColor="hyperlink"/>
      <w:u w:val="single"/>
    </w:rPr>
  </w:style>
  <w:style w:type="character" w:styleId="UnresolvedMention">
    <w:name w:val="Unresolved Mention"/>
    <w:basedOn w:val="DefaultParagraphFont"/>
    <w:uiPriority w:val="99"/>
    <w:semiHidden/>
    <w:unhideWhenUsed/>
    <w:rsid w:val="00EC1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722101">
      <w:bodyDiv w:val="1"/>
      <w:marLeft w:val="0"/>
      <w:marRight w:val="0"/>
      <w:marTop w:val="0"/>
      <w:marBottom w:val="0"/>
      <w:divBdr>
        <w:top w:val="none" w:sz="0" w:space="0" w:color="auto"/>
        <w:left w:val="none" w:sz="0" w:space="0" w:color="auto"/>
        <w:bottom w:val="none" w:sz="0" w:space="0" w:color="auto"/>
        <w:right w:val="none" w:sz="0" w:space="0" w:color="auto"/>
      </w:divBdr>
    </w:div>
    <w:div w:id="603421753">
      <w:bodyDiv w:val="1"/>
      <w:marLeft w:val="0"/>
      <w:marRight w:val="0"/>
      <w:marTop w:val="0"/>
      <w:marBottom w:val="0"/>
      <w:divBdr>
        <w:top w:val="none" w:sz="0" w:space="0" w:color="auto"/>
        <w:left w:val="none" w:sz="0" w:space="0" w:color="auto"/>
        <w:bottom w:val="none" w:sz="0" w:space="0" w:color="auto"/>
        <w:right w:val="none" w:sz="0" w:space="0" w:color="auto"/>
      </w:divBdr>
    </w:div>
    <w:div w:id="755439512">
      <w:bodyDiv w:val="1"/>
      <w:marLeft w:val="0"/>
      <w:marRight w:val="0"/>
      <w:marTop w:val="0"/>
      <w:marBottom w:val="0"/>
      <w:divBdr>
        <w:top w:val="none" w:sz="0" w:space="0" w:color="auto"/>
        <w:left w:val="none" w:sz="0" w:space="0" w:color="auto"/>
        <w:bottom w:val="none" w:sz="0" w:space="0" w:color="auto"/>
        <w:right w:val="none" w:sz="0" w:space="0" w:color="auto"/>
      </w:divBdr>
    </w:div>
    <w:div w:id="91960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hyperlink" Target="https://vimeo.com/269625673" TargetMode="External"/><Relationship Id="rId3" Type="http://schemas.openxmlformats.org/officeDocument/2006/relationships/settings" Target="settings.xml"/><Relationship Id="rId21" Type="http://schemas.openxmlformats.org/officeDocument/2006/relationships/hyperlink" Target="https://assets.publishing.service.gov.uk/government/uploads/system/uploads/attachment_data/file/779401/Working_Together_to_Safeguard-Children.pdf" TargetMode="Externa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hyperlink" Target="https://www.youtube.com/watch?v=V0lE-XENewM" TargetMode="Externa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s://www.youtube.com/watch?v=K_jgQMtpztE&amp;feature=youtu.be" TargetMode="Externa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s://www.csnetwork.org.uk/en/blog/2019/it-takes-a-village-contextual-safeguarding-and-public-health" TargetMode="External"/><Relationship Id="rId28"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hyperlink" Target="http://www.contextualsafeguarding.org.uk/" TargetMode="External"/><Relationship Id="rId27" Type="http://schemas.openxmlformats.org/officeDocument/2006/relationships/hyperlink" Target="https://vimeo.com/427653341"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jpg"/><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753</Words>
  <Characters>4297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Read</dc:creator>
  <cp:keywords/>
  <dc:description/>
  <cp:lastModifiedBy>Tim Read</cp:lastModifiedBy>
  <cp:revision>2</cp:revision>
  <dcterms:created xsi:type="dcterms:W3CDTF">2020-07-06T13:13:00Z</dcterms:created>
  <dcterms:modified xsi:type="dcterms:W3CDTF">2020-07-06T14:04:00Z</dcterms:modified>
</cp:coreProperties>
</file>